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42" w:rsidRDefault="00DD1128" w:rsidP="00DD1128">
      <w:pPr>
        <w:autoSpaceDE w:val="0"/>
        <w:autoSpaceDN w:val="0"/>
        <w:adjustRightInd w:val="0"/>
        <w:spacing w:after="0" w:line="240" w:lineRule="auto"/>
        <w:rPr>
          <w:rFonts w:ascii="ArialMT" w:hAnsi="ArialMT" w:cs="ArialMT"/>
          <w:szCs w:val="20"/>
        </w:rPr>
      </w:pPr>
      <w:r w:rsidRPr="00BD1FCE">
        <w:rPr>
          <w:rFonts w:ascii="ArialMT" w:hAnsi="ArialMT" w:cs="ArialMT"/>
          <w:i/>
          <w:szCs w:val="20"/>
        </w:rPr>
        <w:t>Comparing Rate of Change</w:t>
      </w:r>
      <w:r w:rsidRPr="00BD1FCE">
        <w:rPr>
          <w:rFonts w:ascii="ArialMT" w:hAnsi="ArialMT" w:cs="ArialMT"/>
          <w:i/>
          <w:szCs w:val="20"/>
        </w:rPr>
        <w:tab/>
      </w:r>
      <w:r>
        <w:rPr>
          <w:rFonts w:ascii="ArialMT" w:hAnsi="ArialMT" w:cs="ArialMT"/>
          <w:szCs w:val="20"/>
        </w:rPr>
        <w:tab/>
      </w:r>
      <w:r>
        <w:rPr>
          <w:rFonts w:ascii="ArialMT" w:hAnsi="ArialMT" w:cs="ArialMT"/>
          <w:szCs w:val="20"/>
        </w:rPr>
        <w:tab/>
        <w:t>Name: ____________________________ Period: ____________</w:t>
      </w:r>
    </w:p>
    <w:p w:rsidR="00DD1128" w:rsidRDefault="00DD1128" w:rsidP="00DD1128">
      <w:pPr>
        <w:autoSpaceDE w:val="0"/>
        <w:autoSpaceDN w:val="0"/>
        <w:adjustRightInd w:val="0"/>
        <w:spacing w:after="0" w:line="240" w:lineRule="auto"/>
        <w:jc w:val="right"/>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The cost for text messaging varies from company to company and from plan to plan. A plan that suits one person may not be beneficial to another. Explore the pricing and the rate of change in each of the following plans.</w:t>
      </w:r>
    </w:p>
    <w:p w:rsidR="003A5016" w:rsidRPr="00A84642" w:rsidRDefault="003A5016"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A. Unlimited plan</w:t>
      </w: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B. Pay-per-use plan</w:t>
      </w:r>
    </w:p>
    <w:p w:rsidR="003A5016"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C. Plan with 750 messages</w:t>
      </w:r>
    </w:p>
    <w:p w:rsidR="000762E1" w:rsidRPr="00A84642" w:rsidRDefault="000762E1"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p>
    <w:p w:rsidR="003A5016"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Use the Plan Description to complete the tables (see the example below) and to plot the data points on the grid to the right of each table. Connect the points with appropriate line(s).</w:t>
      </w:r>
    </w:p>
    <w:p w:rsidR="000762E1" w:rsidRPr="00A84642" w:rsidRDefault="000762E1"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BoldMT" w:hAnsi="Arial-BoldMT" w:cs="Arial-BoldMT"/>
          <w:b/>
          <w:bCs/>
          <w:szCs w:val="20"/>
        </w:rPr>
        <w:t xml:space="preserve">Example: </w:t>
      </w:r>
      <w:r w:rsidRPr="00A84642">
        <w:rPr>
          <w:rFonts w:ascii="ArialMT" w:hAnsi="ArialMT" w:cs="ArialMT"/>
          <w:szCs w:val="20"/>
        </w:rPr>
        <w:t>A plan with 300 text messages</w:t>
      </w: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Description: $6 per month with 300 text messages; additional fee of $.05 for each message</w:t>
      </w:r>
    </w:p>
    <w:p w:rsidR="003A5016" w:rsidRPr="00A84642" w:rsidRDefault="003A5016" w:rsidP="003A5016">
      <w:pPr>
        <w:autoSpaceDE w:val="0"/>
        <w:autoSpaceDN w:val="0"/>
        <w:adjustRightInd w:val="0"/>
        <w:spacing w:after="0" w:line="240" w:lineRule="auto"/>
        <w:rPr>
          <w:rFonts w:ascii="ArialMT" w:hAnsi="ArialMT" w:cs="ArialMT"/>
          <w:szCs w:val="20"/>
        </w:rPr>
      </w:pPr>
      <w:proofErr w:type="gramStart"/>
      <w:r w:rsidRPr="00A84642">
        <w:rPr>
          <w:rFonts w:ascii="ArialMT" w:hAnsi="ArialMT" w:cs="ArialMT"/>
          <w:szCs w:val="20"/>
        </w:rPr>
        <w:t>over</w:t>
      </w:r>
      <w:proofErr w:type="gramEnd"/>
      <w:r w:rsidRPr="00A84642">
        <w:rPr>
          <w:rFonts w:ascii="ArialMT" w:hAnsi="ArialMT" w:cs="ArialMT"/>
          <w:szCs w:val="20"/>
        </w:rPr>
        <w:t xml:space="preserve"> the 300 limit</w:t>
      </w:r>
    </w:p>
    <w:p w:rsidR="003A5016" w:rsidRPr="00A84642" w:rsidRDefault="003A5016" w:rsidP="003A5016">
      <w:pPr>
        <w:autoSpaceDE w:val="0"/>
        <w:autoSpaceDN w:val="0"/>
        <w:adjustRightInd w:val="0"/>
        <w:spacing w:after="0" w:line="240" w:lineRule="auto"/>
        <w:rPr>
          <w:rFonts w:ascii="Arial-BoldMT" w:hAnsi="Arial-BoldMT" w:cs="Arial-BoldMT"/>
          <w:b/>
          <w:bCs/>
          <w:szCs w:val="20"/>
        </w:rPr>
      </w:pPr>
    </w:p>
    <w:p w:rsidR="003A5016" w:rsidRPr="00A84642" w:rsidRDefault="003A5016" w:rsidP="003A5016">
      <w:pPr>
        <w:autoSpaceDE w:val="0"/>
        <w:autoSpaceDN w:val="0"/>
        <w:adjustRightInd w:val="0"/>
        <w:spacing w:after="0" w:line="240" w:lineRule="auto"/>
        <w:rPr>
          <w:rFonts w:ascii="Arial-BoldMT" w:hAnsi="Arial-BoldMT" w:cs="Arial-BoldMT"/>
          <w:b/>
          <w:bCs/>
          <w:szCs w:val="20"/>
        </w:rPr>
      </w:pPr>
    </w:p>
    <w:tbl>
      <w:tblPr>
        <w:tblStyle w:val="TableGrid"/>
        <w:tblpPr w:leftFromText="180" w:rightFromText="180" w:vertAnchor="page" w:horzAnchor="margin" w:tblpXSpec="right" w:tblpY="5266"/>
        <w:tblW w:w="0" w:type="auto"/>
        <w:tblLook w:val="04A0" w:firstRow="1" w:lastRow="0" w:firstColumn="1" w:lastColumn="0" w:noHBand="0" w:noVBand="1"/>
      </w:tblPr>
      <w:tblGrid>
        <w:gridCol w:w="2088"/>
        <w:gridCol w:w="2160"/>
      </w:tblGrid>
      <w:tr w:rsidR="001C3AFC" w:rsidRPr="00A84642" w:rsidTr="001C3AFC">
        <w:tc>
          <w:tcPr>
            <w:tcW w:w="2088"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Texts sent</w:t>
            </w:r>
          </w:p>
        </w:tc>
        <w:tc>
          <w:tcPr>
            <w:tcW w:w="2160"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Plan Cost</w:t>
            </w:r>
          </w:p>
        </w:tc>
      </w:tr>
      <w:tr w:rsidR="001C3AFC" w:rsidRPr="00A84642" w:rsidTr="001C3AFC">
        <w:tc>
          <w:tcPr>
            <w:tcW w:w="2088"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100 Texts</w:t>
            </w:r>
          </w:p>
        </w:tc>
        <w:tc>
          <w:tcPr>
            <w:tcW w:w="2160"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$6.00</w:t>
            </w:r>
          </w:p>
        </w:tc>
      </w:tr>
      <w:tr w:rsidR="001C3AFC" w:rsidRPr="00A84642" w:rsidTr="001C3AFC">
        <w:tc>
          <w:tcPr>
            <w:tcW w:w="2088"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300 Texts</w:t>
            </w:r>
          </w:p>
        </w:tc>
        <w:tc>
          <w:tcPr>
            <w:tcW w:w="2160"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$6.00</w:t>
            </w:r>
          </w:p>
        </w:tc>
      </w:tr>
      <w:tr w:rsidR="001C3AFC" w:rsidRPr="00A84642" w:rsidTr="001C3AFC">
        <w:tc>
          <w:tcPr>
            <w:tcW w:w="2088"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500 Texts</w:t>
            </w:r>
          </w:p>
        </w:tc>
        <w:tc>
          <w:tcPr>
            <w:tcW w:w="2160"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$16.00</w:t>
            </w:r>
          </w:p>
        </w:tc>
      </w:tr>
      <w:tr w:rsidR="001C3AFC" w:rsidRPr="00A84642" w:rsidTr="001C3AFC">
        <w:tc>
          <w:tcPr>
            <w:tcW w:w="2088"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700 Texts</w:t>
            </w:r>
          </w:p>
        </w:tc>
        <w:tc>
          <w:tcPr>
            <w:tcW w:w="2160"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$26.00</w:t>
            </w:r>
          </w:p>
        </w:tc>
      </w:tr>
      <w:tr w:rsidR="001C3AFC" w:rsidRPr="00A84642" w:rsidTr="001C3AFC">
        <w:tc>
          <w:tcPr>
            <w:tcW w:w="2088"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900 Texts</w:t>
            </w:r>
          </w:p>
        </w:tc>
        <w:tc>
          <w:tcPr>
            <w:tcW w:w="2160" w:type="dxa"/>
          </w:tcPr>
          <w:p w:rsidR="001C3AFC" w:rsidRPr="00A84642" w:rsidRDefault="001C3AFC" w:rsidP="001C3AFC">
            <w:pPr>
              <w:autoSpaceDE w:val="0"/>
              <w:autoSpaceDN w:val="0"/>
              <w:adjustRightInd w:val="0"/>
              <w:rPr>
                <w:rFonts w:ascii="Arial-BoldMT" w:hAnsi="Arial-BoldMT" w:cs="Arial-BoldMT"/>
                <w:b/>
                <w:bCs/>
                <w:szCs w:val="20"/>
              </w:rPr>
            </w:pPr>
            <w:r w:rsidRPr="00A84642">
              <w:rPr>
                <w:rFonts w:ascii="Arial-BoldMT" w:hAnsi="Arial-BoldMT" w:cs="Arial-BoldMT"/>
                <w:b/>
                <w:bCs/>
                <w:szCs w:val="20"/>
              </w:rPr>
              <w:t>$36.00</w:t>
            </w:r>
          </w:p>
        </w:tc>
      </w:tr>
    </w:tbl>
    <w:p w:rsidR="003A5016" w:rsidRDefault="003A5016" w:rsidP="003A5016">
      <w:pPr>
        <w:autoSpaceDE w:val="0"/>
        <w:autoSpaceDN w:val="0"/>
        <w:adjustRightInd w:val="0"/>
        <w:spacing w:after="0" w:line="240" w:lineRule="auto"/>
        <w:rPr>
          <w:rFonts w:ascii="Arial-BoldMT" w:hAnsi="Arial-BoldMT" w:cs="Arial-BoldMT"/>
          <w:b/>
          <w:bCs/>
          <w:szCs w:val="20"/>
        </w:rPr>
      </w:pPr>
      <w:r w:rsidRPr="00A84642">
        <w:rPr>
          <w:rFonts w:ascii="Arial-BoldMT" w:hAnsi="Arial-BoldMT" w:cs="Arial-BoldMT"/>
          <w:b/>
          <w:bCs/>
          <w:noProof/>
          <w:szCs w:val="20"/>
        </w:rPr>
        <w:drawing>
          <wp:inline distT="0" distB="0" distL="0" distR="0" wp14:anchorId="4A5A7043" wp14:editId="0A91869F">
            <wp:extent cx="3171825" cy="14859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Pr="00A84642" w:rsidRDefault="000762E1" w:rsidP="003A5016">
      <w:pPr>
        <w:autoSpaceDE w:val="0"/>
        <w:autoSpaceDN w:val="0"/>
        <w:adjustRightInd w:val="0"/>
        <w:spacing w:after="0" w:line="240" w:lineRule="auto"/>
        <w:rPr>
          <w:rFonts w:ascii="Arial-BoldMT" w:hAnsi="Arial-BoldMT" w:cs="Arial-BoldMT"/>
          <w:b/>
          <w:bCs/>
          <w:szCs w:val="20"/>
        </w:rPr>
      </w:pPr>
    </w:p>
    <w:p w:rsidR="003A5016" w:rsidRPr="00A84642" w:rsidRDefault="003A5016" w:rsidP="003A5016">
      <w:pPr>
        <w:autoSpaceDE w:val="0"/>
        <w:autoSpaceDN w:val="0"/>
        <w:adjustRightInd w:val="0"/>
        <w:spacing w:after="0" w:line="240" w:lineRule="auto"/>
        <w:rPr>
          <w:rFonts w:ascii="Arial-BoldMT" w:hAnsi="Arial-BoldMT" w:cs="Arial-BoldMT"/>
          <w:b/>
          <w:bCs/>
          <w:szCs w:val="20"/>
        </w:rPr>
      </w:pPr>
    </w:p>
    <w:p w:rsidR="003A5016" w:rsidRPr="00A84642" w:rsidRDefault="003A5016" w:rsidP="003A5016">
      <w:pPr>
        <w:autoSpaceDE w:val="0"/>
        <w:autoSpaceDN w:val="0"/>
        <w:adjustRightInd w:val="0"/>
        <w:spacing w:after="0" w:line="240" w:lineRule="auto"/>
        <w:rPr>
          <w:rFonts w:ascii="Arial-BoldMT" w:hAnsi="Arial-BoldMT" w:cs="Arial-BoldMT"/>
          <w:b/>
          <w:bCs/>
          <w:szCs w:val="20"/>
        </w:rPr>
      </w:pPr>
      <w:r w:rsidRPr="00A84642">
        <w:rPr>
          <w:rFonts w:ascii="Arial-BoldMT" w:hAnsi="Arial-BoldMT" w:cs="Arial-BoldMT"/>
          <w:b/>
          <w:bCs/>
          <w:szCs w:val="20"/>
        </w:rPr>
        <w:t>Unlimited Plan</w:t>
      </w:r>
    </w:p>
    <w:tbl>
      <w:tblPr>
        <w:tblStyle w:val="TableGrid"/>
        <w:tblpPr w:leftFromText="180" w:rightFromText="180" w:vertAnchor="text" w:horzAnchor="page" w:tblpX="6658" w:tblpY="637"/>
        <w:tblW w:w="0" w:type="auto"/>
        <w:tblLook w:val="04A0" w:firstRow="1" w:lastRow="0" w:firstColumn="1" w:lastColumn="0" w:noHBand="0" w:noVBand="1"/>
      </w:tblPr>
      <w:tblGrid>
        <w:gridCol w:w="2268"/>
        <w:gridCol w:w="2250"/>
      </w:tblGrid>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Texts Sent</w:t>
            </w:r>
          </w:p>
        </w:tc>
        <w:tc>
          <w:tcPr>
            <w:tcW w:w="2250"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Cost</w:t>
            </w:r>
          </w:p>
        </w:tc>
      </w:tr>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0</w:t>
            </w:r>
          </w:p>
        </w:tc>
        <w:tc>
          <w:tcPr>
            <w:tcW w:w="2250" w:type="dxa"/>
          </w:tcPr>
          <w:p w:rsidR="00B946BA" w:rsidRPr="000762E1" w:rsidRDefault="00B946BA" w:rsidP="00B946BA">
            <w:pPr>
              <w:autoSpaceDE w:val="0"/>
              <w:autoSpaceDN w:val="0"/>
              <w:adjustRightInd w:val="0"/>
              <w:rPr>
                <w:rFonts w:ascii="ArialMT" w:hAnsi="ArialMT" w:cs="ArialMT"/>
                <w:sz w:val="28"/>
                <w:szCs w:val="20"/>
              </w:rPr>
            </w:pPr>
          </w:p>
        </w:tc>
      </w:tr>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200</w:t>
            </w:r>
          </w:p>
        </w:tc>
        <w:tc>
          <w:tcPr>
            <w:tcW w:w="2250" w:type="dxa"/>
          </w:tcPr>
          <w:p w:rsidR="00B946BA" w:rsidRPr="000762E1" w:rsidRDefault="00B946BA" w:rsidP="00B946BA">
            <w:pPr>
              <w:autoSpaceDE w:val="0"/>
              <w:autoSpaceDN w:val="0"/>
              <w:adjustRightInd w:val="0"/>
              <w:rPr>
                <w:rFonts w:ascii="ArialMT" w:hAnsi="ArialMT" w:cs="ArialMT"/>
                <w:sz w:val="28"/>
                <w:szCs w:val="20"/>
              </w:rPr>
            </w:pPr>
          </w:p>
        </w:tc>
      </w:tr>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400</w:t>
            </w:r>
          </w:p>
        </w:tc>
        <w:tc>
          <w:tcPr>
            <w:tcW w:w="2250" w:type="dxa"/>
          </w:tcPr>
          <w:p w:rsidR="00B946BA" w:rsidRPr="000762E1" w:rsidRDefault="00B946BA" w:rsidP="00B946BA">
            <w:pPr>
              <w:autoSpaceDE w:val="0"/>
              <w:autoSpaceDN w:val="0"/>
              <w:adjustRightInd w:val="0"/>
              <w:rPr>
                <w:rFonts w:ascii="ArialMT" w:hAnsi="ArialMT" w:cs="ArialMT"/>
                <w:sz w:val="28"/>
                <w:szCs w:val="20"/>
              </w:rPr>
            </w:pPr>
          </w:p>
        </w:tc>
      </w:tr>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600</w:t>
            </w:r>
          </w:p>
        </w:tc>
        <w:tc>
          <w:tcPr>
            <w:tcW w:w="2250" w:type="dxa"/>
          </w:tcPr>
          <w:p w:rsidR="00B946BA" w:rsidRPr="000762E1" w:rsidRDefault="00B946BA" w:rsidP="00B946BA">
            <w:pPr>
              <w:autoSpaceDE w:val="0"/>
              <w:autoSpaceDN w:val="0"/>
              <w:adjustRightInd w:val="0"/>
              <w:rPr>
                <w:rFonts w:ascii="ArialMT" w:hAnsi="ArialMT" w:cs="ArialMT"/>
                <w:sz w:val="28"/>
                <w:szCs w:val="20"/>
              </w:rPr>
            </w:pPr>
          </w:p>
        </w:tc>
      </w:tr>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800</w:t>
            </w:r>
          </w:p>
        </w:tc>
        <w:tc>
          <w:tcPr>
            <w:tcW w:w="2250" w:type="dxa"/>
          </w:tcPr>
          <w:p w:rsidR="00B946BA" w:rsidRPr="000762E1" w:rsidRDefault="00B946BA" w:rsidP="00B946BA">
            <w:pPr>
              <w:autoSpaceDE w:val="0"/>
              <w:autoSpaceDN w:val="0"/>
              <w:adjustRightInd w:val="0"/>
              <w:rPr>
                <w:rFonts w:ascii="ArialMT" w:hAnsi="ArialMT" w:cs="ArialMT"/>
                <w:sz w:val="28"/>
                <w:szCs w:val="20"/>
              </w:rPr>
            </w:pPr>
          </w:p>
        </w:tc>
      </w:tr>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1000</w:t>
            </w:r>
          </w:p>
        </w:tc>
        <w:tc>
          <w:tcPr>
            <w:tcW w:w="2250" w:type="dxa"/>
          </w:tcPr>
          <w:p w:rsidR="00B946BA" w:rsidRPr="000762E1" w:rsidRDefault="00B946BA" w:rsidP="00B946BA">
            <w:pPr>
              <w:autoSpaceDE w:val="0"/>
              <w:autoSpaceDN w:val="0"/>
              <w:adjustRightInd w:val="0"/>
              <w:rPr>
                <w:rFonts w:ascii="ArialMT" w:hAnsi="ArialMT" w:cs="ArialMT"/>
                <w:sz w:val="28"/>
                <w:szCs w:val="20"/>
              </w:rPr>
            </w:pPr>
          </w:p>
        </w:tc>
      </w:tr>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1200</w:t>
            </w:r>
          </w:p>
        </w:tc>
        <w:tc>
          <w:tcPr>
            <w:tcW w:w="2250" w:type="dxa"/>
          </w:tcPr>
          <w:p w:rsidR="00B946BA" w:rsidRPr="000762E1" w:rsidRDefault="00B946BA" w:rsidP="00B946BA">
            <w:pPr>
              <w:autoSpaceDE w:val="0"/>
              <w:autoSpaceDN w:val="0"/>
              <w:adjustRightInd w:val="0"/>
              <w:rPr>
                <w:rFonts w:ascii="ArialMT" w:hAnsi="ArialMT" w:cs="ArialMT"/>
                <w:sz w:val="28"/>
                <w:szCs w:val="20"/>
              </w:rPr>
            </w:pPr>
          </w:p>
        </w:tc>
      </w:tr>
      <w:tr w:rsidR="00B946BA" w:rsidRPr="000762E1" w:rsidTr="00B946BA">
        <w:tc>
          <w:tcPr>
            <w:tcW w:w="2268" w:type="dxa"/>
          </w:tcPr>
          <w:p w:rsidR="00B946BA" w:rsidRPr="000762E1" w:rsidRDefault="00B946BA" w:rsidP="00B946BA">
            <w:pPr>
              <w:autoSpaceDE w:val="0"/>
              <w:autoSpaceDN w:val="0"/>
              <w:adjustRightInd w:val="0"/>
              <w:rPr>
                <w:rFonts w:ascii="ArialMT" w:hAnsi="ArialMT" w:cs="ArialMT"/>
                <w:sz w:val="28"/>
                <w:szCs w:val="20"/>
              </w:rPr>
            </w:pPr>
            <w:r w:rsidRPr="000762E1">
              <w:rPr>
                <w:rFonts w:ascii="ArialMT" w:hAnsi="ArialMT" w:cs="ArialMT"/>
                <w:sz w:val="28"/>
                <w:szCs w:val="20"/>
              </w:rPr>
              <w:t>1400</w:t>
            </w:r>
          </w:p>
        </w:tc>
        <w:tc>
          <w:tcPr>
            <w:tcW w:w="2250" w:type="dxa"/>
          </w:tcPr>
          <w:p w:rsidR="00B946BA" w:rsidRPr="000762E1" w:rsidRDefault="00B946BA" w:rsidP="00B946BA">
            <w:pPr>
              <w:autoSpaceDE w:val="0"/>
              <w:autoSpaceDN w:val="0"/>
              <w:adjustRightInd w:val="0"/>
              <w:rPr>
                <w:rFonts w:ascii="ArialMT" w:hAnsi="ArialMT" w:cs="ArialMT"/>
                <w:sz w:val="28"/>
                <w:szCs w:val="20"/>
              </w:rPr>
            </w:pPr>
          </w:p>
        </w:tc>
      </w:tr>
      <w:tr w:rsidR="000762E1" w:rsidRPr="000762E1" w:rsidTr="00B946BA">
        <w:tc>
          <w:tcPr>
            <w:tcW w:w="2268" w:type="dxa"/>
          </w:tcPr>
          <w:p w:rsidR="000762E1" w:rsidRPr="000762E1" w:rsidRDefault="000762E1" w:rsidP="00B946BA">
            <w:pPr>
              <w:autoSpaceDE w:val="0"/>
              <w:autoSpaceDN w:val="0"/>
              <w:adjustRightInd w:val="0"/>
              <w:rPr>
                <w:rFonts w:ascii="ArialMT" w:hAnsi="ArialMT" w:cs="ArialMT"/>
                <w:sz w:val="28"/>
                <w:szCs w:val="20"/>
              </w:rPr>
            </w:pPr>
            <w:r>
              <w:rPr>
                <w:rFonts w:ascii="ArialMT" w:hAnsi="ArialMT" w:cs="ArialMT"/>
                <w:sz w:val="28"/>
                <w:szCs w:val="20"/>
              </w:rPr>
              <w:t>1600</w:t>
            </w:r>
          </w:p>
        </w:tc>
        <w:tc>
          <w:tcPr>
            <w:tcW w:w="2250" w:type="dxa"/>
          </w:tcPr>
          <w:p w:rsidR="000762E1" w:rsidRPr="000762E1" w:rsidRDefault="000762E1" w:rsidP="00B946BA">
            <w:pPr>
              <w:autoSpaceDE w:val="0"/>
              <w:autoSpaceDN w:val="0"/>
              <w:adjustRightInd w:val="0"/>
              <w:rPr>
                <w:rFonts w:ascii="ArialMT" w:hAnsi="ArialMT" w:cs="ArialMT"/>
                <w:sz w:val="28"/>
                <w:szCs w:val="20"/>
              </w:rPr>
            </w:pPr>
          </w:p>
        </w:tc>
      </w:tr>
      <w:tr w:rsidR="000762E1" w:rsidRPr="000762E1" w:rsidTr="00B946BA">
        <w:tc>
          <w:tcPr>
            <w:tcW w:w="2268" w:type="dxa"/>
          </w:tcPr>
          <w:p w:rsidR="000762E1" w:rsidRPr="000762E1" w:rsidRDefault="000762E1" w:rsidP="00B946BA">
            <w:pPr>
              <w:autoSpaceDE w:val="0"/>
              <w:autoSpaceDN w:val="0"/>
              <w:adjustRightInd w:val="0"/>
              <w:rPr>
                <w:rFonts w:ascii="ArialMT" w:hAnsi="ArialMT" w:cs="ArialMT"/>
                <w:sz w:val="28"/>
                <w:szCs w:val="20"/>
              </w:rPr>
            </w:pPr>
            <w:r>
              <w:rPr>
                <w:rFonts w:ascii="ArialMT" w:hAnsi="ArialMT" w:cs="ArialMT"/>
                <w:sz w:val="28"/>
                <w:szCs w:val="20"/>
              </w:rPr>
              <w:t>1800</w:t>
            </w:r>
          </w:p>
        </w:tc>
        <w:tc>
          <w:tcPr>
            <w:tcW w:w="2250" w:type="dxa"/>
          </w:tcPr>
          <w:p w:rsidR="000762E1" w:rsidRPr="000762E1" w:rsidRDefault="000762E1" w:rsidP="00B946BA">
            <w:pPr>
              <w:autoSpaceDE w:val="0"/>
              <w:autoSpaceDN w:val="0"/>
              <w:adjustRightInd w:val="0"/>
              <w:rPr>
                <w:rFonts w:ascii="ArialMT" w:hAnsi="ArialMT" w:cs="ArialMT"/>
                <w:sz w:val="28"/>
                <w:szCs w:val="20"/>
              </w:rPr>
            </w:pPr>
          </w:p>
        </w:tc>
      </w:tr>
      <w:tr w:rsidR="000762E1" w:rsidRPr="000762E1" w:rsidTr="00B946BA">
        <w:tc>
          <w:tcPr>
            <w:tcW w:w="2268" w:type="dxa"/>
          </w:tcPr>
          <w:p w:rsidR="000762E1" w:rsidRPr="000762E1" w:rsidRDefault="000762E1" w:rsidP="00B946BA">
            <w:pPr>
              <w:autoSpaceDE w:val="0"/>
              <w:autoSpaceDN w:val="0"/>
              <w:adjustRightInd w:val="0"/>
              <w:rPr>
                <w:rFonts w:ascii="ArialMT" w:hAnsi="ArialMT" w:cs="ArialMT"/>
                <w:sz w:val="28"/>
                <w:szCs w:val="20"/>
              </w:rPr>
            </w:pPr>
            <w:r>
              <w:rPr>
                <w:rFonts w:ascii="ArialMT" w:hAnsi="ArialMT" w:cs="ArialMT"/>
                <w:sz w:val="28"/>
                <w:szCs w:val="20"/>
              </w:rPr>
              <w:t>2000</w:t>
            </w:r>
          </w:p>
        </w:tc>
        <w:tc>
          <w:tcPr>
            <w:tcW w:w="2250" w:type="dxa"/>
          </w:tcPr>
          <w:p w:rsidR="000762E1" w:rsidRPr="000762E1" w:rsidRDefault="000762E1" w:rsidP="00B946BA">
            <w:pPr>
              <w:autoSpaceDE w:val="0"/>
              <w:autoSpaceDN w:val="0"/>
              <w:adjustRightInd w:val="0"/>
              <w:rPr>
                <w:rFonts w:ascii="ArialMT" w:hAnsi="ArialMT" w:cs="ArialMT"/>
                <w:sz w:val="28"/>
                <w:szCs w:val="20"/>
              </w:rPr>
            </w:pPr>
          </w:p>
        </w:tc>
      </w:tr>
    </w:tbl>
    <w:p w:rsidR="000762E1"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Description: $2</w:t>
      </w:r>
      <w:r w:rsidR="001C3AFC" w:rsidRPr="00A84642">
        <w:rPr>
          <w:rFonts w:ascii="ArialMT" w:hAnsi="ArialMT" w:cs="ArialMT"/>
          <w:szCs w:val="20"/>
        </w:rPr>
        <w:t>5</w:t>
      </w:r>
      <w:r w:rsidRPr="00A84642">
        <w:rPr>
          <w:rFonts w:ascii="ArialMT" w:hAnsi="ArialMT" w:cs="ArialMT"/>
          <w:szCs w:val="20"/>
        </w:rPr>
        <w:t xml:space="preserve"> per month, regardles</w:t>
      </w:r>
      <w:r w:rsidR="00B946BA" w:rsidRPr="00A84642">
        <w:rPr>
          <w:rFonts w:ascii="ArialMT" w:hAnsi="ArialMT" w:cs="ArialMT"/>
          <w:szCs w:val="20"/>
        </w:rPr>
        <w:t>s of the number of text messages</w:t>
      </w:r>
    </w:p>
    <w:p w:rsidR="000762E1" w:rsidRDefault="000762E1" w:rsidP="003A5016">
      <w:pPr>
        <w:autoSpaceDE w:val="0"/>
        <w:autoSpaceDN w:val="0"/>
        <w:adjustRightInd w:val="0"/>
        <w:spacing w:after="0" w:line="240" w:lineRule="auto"/>
        <w:rPr>
          <w:rFonts w:ascii="ArialMT" w:hAnsi="ArialMT" w:cs="ArialMT"/>
          <w:szCs w:val="20"/>
        </w:rPr>
      </w:pPr>
    </w:p>
    <w:p w:rsidR="001C3AFC" w:rsidRPr="00A84642" w:rsidRDefault="00B946BA" w:rsidP="003A5016">
      <w:pPr>
        <w:autoSpaceDE w:val="0"/>
        <w:autoSpaceDN w:val="0"/>
        <w:adjustRightInd w:val="0"/>
        <w:spacing w:after="0" w:line="240" w:lineRule="auto"/>
        <w:rPr>
          <w:rFonts w:ascii="ArialMT" w:hAnsi="ArialMT" w:cs="ArialMT"/>
          <w:szCs w:val="20"/>
        </w:rPr>
      </w:pPr>
      <w:r w:rsidRPr="00A84642">
        <w:rPr>
          <w:rFonts w:ascii="ArialMT" w:hAnsi="ArialMT" w:cs="ArialMT"/>
          <w:noProof/>
          <w:szCs w:val="20"/>
        </w:rPr>
        <w:drawing>
          <wp:inline distT="0" distB="0" distL="0" distR="0" wp14:anchorId="5CA7E1B1" wp14:editId="2F8A2E3A">
            <wp:extent cx="3524250" cy="25812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1C3AFC" w:rsidRPr="00A84642">
        <w:rPr>
          <w:rFonts w:ascii="ArialMT" w:hAnsi="ArialMT" w:cs="ArialMT"/>
          <w:szCs w:val="20"/>
        </w:rPr>
        <w:tab/>
      </w:r>
      <w:r w:rsidR="001C3AFC" w:rsidRPr="00A84642">
        <w:rPr>
          <w:rFonts w:ascii="ArialMT" w:hAnsi="ArialMT" w:cs="ArialMT"/>
          <w:szCs w:val="20"/>
        </w:rPr>
        <w:tab/>
      </w:r>
      <w:r w:rsidR="001C3AFC" w:rsidRPr="00A84642">
        <w:rPr>
          <w:rFonts w:ascii="ArialMT" w:hAnsi="ArialMT" w:cs="ArialMT"/>
          <w:szCs w:val="20"/>
        </w:rPr>
        <w:tab/>
      </w:r>
    </w:p>
    <w:p w:rsidR="00B946BA" w:rsidRPr="00A84642" w:rsidRDefault="00B946BA">
      <w:pPr>
        <w:rPr>
          <w:rFonts w:ascii="ArialMT" w:hAnsi="ArialMT" w:cs="ArialMT"/>
          <w:szCs w:val="20"/>
        </w:rPr>
      </w:pPr>
      <w:r w:rsidRPr="00A84642">
        <w:rPr>
          <w:rFonts w:ascii="ArialMT" w:hAnsi="ArialMT" w:cs="ArialMT"/>
          <w:szCs w:val="20"/>
        </w:rPr>
        <w:br w:type="page"/>
      </w:r>
    </w:p>
    <w:p w:rsidR="003A5016" w:rsidRPr="00A84642" w:rsidRDefault="003A5016" w:rsidP="003A5016">
      <w:pPr>
        <w:autoSpaceDE w:val="0"/>
        <w:autoSpaceDN w:val="0"/>
        <w:adjustRightInd w:val="0"/>
        <w:spacing w:after="0" w:line="240" w:lineRule="auto"/>
        <w:rPr>
          <w:rFonts w:ascii="Arial-BoldMT" w:hAnsi="Arial-BoldMT" w:cs="Arial-BoldMT"/>
          <w:b/>
          <w:bCs/>
          <w:szCs w:val="20"/>
        </w:rPr>
      </w:pPr>
      <w:r w:rsidRPr="00A84642">
        <w:rPr>
          <w:rFonts w:ascii="Arial-BoldMT" w:hAnsi="Arial-BoldMT" w:cs="Arial-BoldMT"/>
          <w:b/>
          <w:bCs/>
          <w:szCs w:val="20"/>
        </w:rPr>
        <w:lastRenderedPageBreak/>
        <w:t>Pay-Per-Use Plan</w:t>
      </w:r>
    </w:p>
    <w:tbl>
      <w:tblPr>
        <w:tblStyle w:val="TableGrid"/>
        <w:tblpPr w:leftFromText="180" w:rightFromText="180" w:vertAnchor="text" w:horzAnchor="page" w:tblpX="6583" w:tblpY="-56"/>
        <w:tblW w:w="0" w:type="auto"/>
        <w:tblLook w:val="04A0" w:firstRow="1" w:lastRow="0" w:firstColumn="1" w:lastColumn="0" w:noHBand="0" w:noVBand="1"/>
      </w:tblPr>
      <w:tblGrid>
        <w:gridCol w:w="1710"/>
        <w:gridCol w:w="2250"/>
      </w:tblGrid>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Texts Sent</w:t>
            </w:r>
          </w:p>
        </w:tc>
        <w:tc>
          <w:tcPr>
            <w:tcW w:w="225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Cost</w:t>
            </w: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200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400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600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800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1000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1200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1400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1600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1800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2000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bl>
    <w:p w:rsidR="003A5016"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Description: $.05 per text message, billed monthly</w:t>
      </w:r>
    </w:p>
    <w:p w:rsidR="000762E1" w:rsidRPr="00A84642" w:rsidRDefault="000762E1" w:rsidP="003A5016">
      <w:pPr>
        <w:autoSpaceDE w:val="0"/>
        <w:autoSpaceDN w:val="0"/>
        <w:adjustRightInd w:val="0"/>
        <w:spacing w:after="0" w:line="240" w:lineRule="auto"/>
        <w:rPr>
          <w:rFonts w:ascii="ArialMT" w:hAnsi="ArialMT" w:cs="ArialMT"/>
          <w:szCs w:val="20"/>
        </w:rPr>
      </w:pPr>
    </w:p>
    <w:p w:rsidR="00B946BA" w:rsidRPr="00A84642" w:rsidRDefault="00B946BA" w:rsidP="003A5016">
      <w:pPr>
        <w:autoSpaceDE w:val="0"/>
        <w:autoSpaceDN w:val="0"/>
        <w:adjustRightInd w:val="0"/>
        <w:spacing w:after="0" w:line="240" w:lineRule="auto"/>
        <w:rPr>
          <w:rFonts w:ascii="ArialMT" w:hAnsi="ArialMT" w:cs="ArialMT"/>
          <w:szCs w:val="20"/>
        </w:rPr>
      </w:pPr>
      <w:r w:rsidRPr="00A84642">
        <w:rPr>
          <w:rFonts w:ascii="ArialMT" w:hAnsi="ArialMT" w:cs="ArialMT"/>
          <w:noProof/>
          <w:szCs w:val="20"/>
        </w:rPr>
        <w:drawing>
          <wp:inline distT="0" distB="0" distL="0" distR="0" wp14:anchorId="404C5615" wp14:editId="4B8F4171">
            <wp:extent cx="3495675" cy="27622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46BA" w:rsidRPr="00A84642" w:rsidRDefault="00B946BA"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Times-Roman" w:hAnsi="Times-Roman" w:cs="Times-Roman"/>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0762E1" w:rsidRDefault="000762E1" w:rsidP="003A5016">
      <w:pPr>
        <w:autoSpaceDE w:val="0"/>
        <w:autoSpaceDN w:val="0"/>
        <w:adjustRightInd w:val="0"/>
        <w:spacing w:after="0" w:line="240" w:lineRule="auto"/>
        <w:rPr>
          <w:rFonts w:ascii="Arial-BoldMT" w:hAnsi="Arial-BoldMT" w:cs="Arial-BoldMT"/>
          <w:b/>
          <w:bCs/>
          <w:szCs w:val="20"/>
        </w:rPr>
      </w:pPr>
    </w:p>
    <w:p w:rsidR="003A5016" w:rsidRPr="00A84642" w:rsidRDefault="001C3AFC" w:rsidP="003A5016">
      <w:pPr>
        <w:autoSpaceDE w:val="0"/>
        <w:autoSpaceDN w:val="0"/>
        <w:adjustRightInd w:val="0"/>
        <w:spacing w:after="0" w:line="240" w:lineRule="auto"/>
        <w:rPr>
          <w:rFonts w:ascii="Arial-BoldMT" w:hAnsi="Arial-BoldMT" w:cs="Arial-BoldMT"/>
          <w:b/>
          <w:bCs/>
          <w:szCs w:val="20"/>
        </w:rPr>
      </w:pPr>
      <w:r w:rsidRPr="00A84642">
        <w:rPr>
          <w:rFonts w:ascii="Arial-BoldMT" w:hAnsi="Arial-BoldMT" w:cs="Arial-BoldMT"/>
          <w:b/>
          <w:bCs/>
          <w:szCs w:val="20"/>
        </w:rPr>
        <w:t>1</w:t>
      </w:r>
      <w:r w:rsidR="003A5016" w:rsidRPr="00A84642">
        <w:rPr>
          <w:rFonts w:ascii="Arial-BoldMT" w:hAnsi="Arial-BoldMT" w:cs="Arial-BoldMT"/>
          <w:b/>
          <w:bCs/>
          <w:szCs w:val="20"/>
        </w:rPr>
        <w:t xml:space="preserve">50 Included </w:t>
      </w:r>
      <w:proofErr w:type="gramStart"/>
      <w:r w:rsidR="003A5016" w:rsidRPr="00A84642">
        <w:rPr>
          <w:rFonts w:ascii="Arial-BoldMT" w:hAnsi="Arial-BoldMT" w:cs="Arial-BoldMT"/>
          <w:b/>
          <w:bCs/>
          <w:szCs w:val="20"/>
        </w:rPr>
        <w:t>Plan</w:t>
      </w:r>
      <w:proofErr w:type="gramEnd"/>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Description: $</w:t>
      </w:r>
      <w:r w:rsidR="00D24BEF" w:rsidRPr="00A84642">
        <w:rPr>
          <w:rFonts w:ascii="ArialMT" w:hAnsi="ArialMT" w:cs="ArialMT"/>
          <w:szCs w:val="20"/>
        </w:rPr>
        <w:t>6</w:t>
      </w:r>
      <w:r w:rsidR="00B946BA" w:rsidRPr="00A84642">
        <w:rPr>
          <w:rFonts w:ascii="ArialMT" w:hAnsi="ArialMT" w:cs="ArialMT"/>
          <w:szCs w:val="20"/>
        </w:rPr>
        <w:t>.50</w:t>
      </w:r>
      <w:r w:rsidRPr="00A84642">
        <w:rPr>
          <w:rFonts w:ascii="ArialMT" w:hAnsi="ArialMT" w:cs="ArialMT"/>
          <w:szCs w:val="20"/>
        </w:rPr>
        <w:t xml:space="preserve"> per month with </w:t>
      </w:r>
      <w:r w:rsidR="001C3AFC" w:rsidRPr="00A84642">
        <w:rPr>
          <w:rFonts w:ascii="ArialMT" w:hAnsi="ArialMT" w:cs="ArialMT"/>
          <w:szCs w:val="20"/>
        </w:rPr>
        <w:t>1</w:t>
      </w:r>
      <w:r w:rsidRPr="00A84642">
        <w:rPr>
          <w:rFonts w:ascii="ArialMT" w:hAnsi="ArialMT" w:cs="ArialMT"/>
          <w:szCs w:val="20"/>
        </w:rPr>
        <w:t>50 text messages; an additional fee of $.0</w:t>
      </w:r>
      <w:r w:rsidR="001C3AFC" w:rsidRPr="00A84642">
        <w:rPr>
          <w:rFonts w:ascii="ArialMT" w:hAnsi="ArialMT" w:cs="ArialMT"/>
          <w:szCs w:val="20"/>
        </w:rPr>
        <w:t>1</w:t>
      </w:r>
      <w:r w:rsidRPr="00A84642">
        <w:rPr>
          <w:rFonts w:ascii="ArialMT" w:hAnsi="ArialMT" w:cs="ArialMT"/>
          <w:szCs w:val="20"/>
        </w:rPr>
        <w:t xml:space="preserve"> for each message</w:t>
      </w:r>
    </w:p>
    <w:tbl>
      <w:tblPr>
        <w:tblStyle w:val="TableGrid"/>
        <w:tblpPr w:leftFromText="180" w:rightFromText="180" w:vertAnchor="text" w:horzAnchor="page" w:tblpX="6898" w:tblpY="168"/>
        <w:tblW w:w="0" w:type="auto"/>
        <w:tblLook w:val="04A0" w:firstRow="1" w:lastRow="0" w:firstColumn="1" w:lastColumn="0" w:noHBand="0" w:noVBand="1"/>
      </w:tblPr>
      <w:tblGrid>
        <w:gridCol w:w="1710"/>
        <w:gridCol w:w="2250"/>
      </w:tblGrid>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Texts Sent</w:t>
            </w:r>
          </w:p>
        </w:tc>
        <w:tc>
          <w:tcPr>
            <w:tcW w:w="225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Cost</w:t>
            </w: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200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400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600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800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1000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1200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1400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1600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1800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r w:rsidR="000762E1" w:rsidRPr="000762E1" w:rsidTr="000762E1">
        <w:tc>
          <w:tcPr>
            <w:tcW w:w="1710" w:type="dxa"/>
          </w:tcPr>
          <w:p w:rsidR="000762E1" w:rsidRPr="000762E1" w:rsidRDefault="000762E1" w:rsidP="000762E1">
            <w:pPr>
              <w:autoSpaceDE w:val="0"/>
              <w:autoSpaceDN w:val="0"/>
              <w:adjustRightInd w:val="0"/>
              <w:rPr>
                <w:rFonts w:ascii="ArialMT" w:hAnsi="ArialMT" w:cs="ArialMT"/>
                <w:sz w:val="28"/>
                <w:szCs w:val="20"/>
              </w:rPr>
            </w:pPr>
            <w:r w:rsidRPr="000762E1">
              <w:rPr>
                <w:rFonts w:ascii="ArialMT" w:hAnsi="ArialMT" w:cs="ArialMT"/>
                <w:sz w:val="28"/>
                <w:szCs w:val="20"/>
              </w:rPr>
              <w:t>2000</w:t>
            </w:r>
          </w:p>
        </w:tc>
        <w:tc>
          <w:tcPr>
            <w:tcW w:w="2250" w:type="dxa"/>
          </w:tcPr>
          <w:p w:rsidR="000762E1" w:rsidRPr="000762E1" w:rsidRDefault="000762E1" w:rsidP="000762E1">
            <w:pPr>
              <w:autoSpaceDE w:val="0"/>
              <w:autoSpaceDN w:val="0"/>
              <w:adjustRightInd w:val="0"/>
              <w:rPr>
                <w:rFonts w:ascii="ArialMT" w:hAnsi="ArialMT" w:cs="ArialMT"/>
                <w:sz w:val="28"/>
                <w:szCs w:val="20"/>
              </w:rPr>
            </w:pPr>
          </w:p>
        </w:tc>
      </w:tr>
    </w:tbl>
    <w:p w:rsidR="003A5016" w:rsidRPr="00A84642" w:rsidRDefault="00B946BA" w:rsidP="003A5016">
      <w:pPr>
        <w:autoSpaceDE w:val="0"/>
        <w:autoSpaceDN w:val="0"/>
        <w:adjustRightInd w:val="0"/>
        <w:spacing w:after="0" w:line="240" w:lineRule="auto"/>
        <w:rPr>
          <w:rFonts w:ascii="ArialMT" w:hAnsi="ArialMT" w:cs="ArialMT"/>
          <w:szCs w:val="20"/>
        </w:rPr>
      </w:pPr>
      <w:proofErr w:type="gramStart"/>
      <w:r w:rsidRPr="00A84642">
        <w:rPr>
          <w:rFonts w:ascii="ArialMT" w:hAnsi="ArialMT" w:cs="ArialMT"/>
          <w:szCs w:val="20"/>
        </w:rPr>
        <w:t>over</w:t>
      </w:r>
      <w:proofErr w:type="gramEnd"/>
      <w:r w:rsidRPr="00A84642">
        <w:rPr>
          <w:rFonts w:ascii="ArialMT" w:hAnsi="ArialMT" w:cs="ArialMT"/>
          <w:szCs w:val="20"/>
        </w:rPr>
        <w:t xml:space="preserve"> the 1</w:t>
      </w:r>
      <w:r w:rsidR="003A5016" w:rsidRPr="00A84642">
        <w:rPr>
          <w:rFonts w:ascii="ArialMT" w:hAnsi="ArialMT" w:cs="ArialMT"/>
          <w:szCs w:val="20"/>
        </w:rPr>
        <w:t>50 limit</w:t>
      </w:r>
    </w:p>
    <w:p w:rsidR="00D24BEF" w:rsidRPr="00A84642" w:rsidRDefault="00D24BEF" w:rsidP="003A5016">
      <w:pPr>
        <w:autoSpaceDE w:val="0"/>
        <w:autoSpaceDN w:val="0"/>
        <w:adjustRightInd w:val="0"/>
        <w:spacing w:after="0" w:line="240" w:lineRule="auto"/>
        <w:rPr>
          <w:rFonts w:ascii="ArialMT" w:hAnsi="ArialMT" w:cs="ArialMT"/>
          <w:szCs w:val="20"/>
        </w:rPr>
      </w:pPr>
    </w:p>
    <w:p w:rsidR="00D24BEF" w:rsidRDefault="00D24BEF" w:rsidP="003A5016">
      <w:pPr>
        <w:autoSpaceDE w:val="0"/>
        <w:autoSpaceDN w:val="0"/>
        <w:adjustRightInd w:val="0"/>
        <w:spacing w:after="0" w:line="240" w:lineRule="auto"/>
        <w:rPr>
          <w:rFonts w:ascii="ArialMT" w:hAnsi="ArialMT" w:cs="ArialMT"/>
          <w:szCs w:val="20"/>
        </w:rPr>
      </w:pPr>
      <w:r w:rsidRPr="00A84642">
        <w:rPr>
          <w:rFonts w:ascii="ArialMT" w:hAnsi="ArialMT" w:cs="ArialMT"/>
          <w:noProof/>
          <w:szCs w:val="20"/>
        </w:rPr>
        <w:drawing>
          <wp:inline distT="0" distB="0" distL="0" distR="0" wp14:anchorId="5A784862" wp14:editId="537DD016">
            <wp:extent cx="3648075" cy="30480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62E1" w:rsidRDefault="000762E1" w:rsidP="003A5016">
      <w:pPr>
        <w:autoSpaceDE w:val="0"/>
        <w:autoSpaceDN w:val="0"/>
        <w:adjustRightInd w:val="0"/>
        <w:spacing w:after="0" w:line="240" w:lineRule="auto"/>
        <w:rPr>
          <w:rFonts w:ascii="ArialMT" w:hAnsi="ArialMT" w:cs="ArialMT"/>
          <w:szCs w:val="20"/>
        </w:rPr>
      </w:pPr>
    </w:p>
    <w:p w:rsidR="001C3AFC" w:rsidRPr="00A84642" w:rsidRDefault="001C3AFC" w:rsidP="003A5016">
      <w:pPr>
        <w:autoSpaceDE w:val="0"/>
        <w:autoSpaceDN w:val="0"/>
        <w:adjustRightInd w:val="0"/>
        <w:spacing w:after="0" w:line="240" w:lineRule="auto"/>
        <w:rPr>
          <w:rFonts w:ascii="ArialMT" w:hAnsi="ArialMT" w:cs="ArialMT"/>
          <w:szCs w:val="20"/>
        </w:rPr>
      </w:pPr>
    </w:p>
    <w:p w:rsidR="003A5016" w:rsidRDefault="003A5016" w:rsidP="003A5016">
      <w:pPr>
        <w:autoSpaceDE w:val="0"/>
        <w:autoSpaceDN w:val="0"/>
        <w:adjustRightInd w:val="0"/>
        <w:spacing w:after="0" w:line="240" w:lineRule="auto"/>
        <w:rPr>
          <w:rFonts w:ascii="ArialMT" w:hAnsi="ArialMT" w:cs="ArialMT"/>
          <w:b/>
          <w:szCs w:val="20"/>
        </w:rPr>
      </w:pPr>
      <w:r w:rsidRPr="000762E1">
        <w:rPr>
          <w:rFonts w:ascii="ArialMT" w:hAnsi="ArialMT" w:cs="ArialMT"/>
          <w:b/>
          <w:szCs w:val="20"/>
        </w:rPr>
        <w:lastRenderedPageBreak/>
        <w:t>Calculate the slope of the line for each plan. Explain the meaning of the slope in terms of number of text</w:t>
      </w:r>
      <w:r w:rsidR="00FD6558">
        <w:rPr>
          <w:rFonts w:ascii="ArialMT" w:hAnsi="ArialMT" w:cs="ArialMT"/>
          <w:b/>
          <w:szCs w:val="20"/>
        </w:rPr>
        <w:t xml:space="preserve"> </w:t>
      </w:r>
      <w:bookmarkStart w:id="0" w:name="_GoBack"/>
      <w:bookmarkEnd w:id="0"/>
      <w:r w:rsidRPr="000762E1">
        <w:rPr>
          <w:rFonts w:ascii="ArialMT" w:hAnsi="ArialMT" w:cs="ArialMT"/>
          <w:b/>
          <w:szCs w:val="20"/>
        </w:rPr>
        <w:t>messages and total cost in dollars.</w:t>
      </w:r>
    </w:p>
    <w:p w:rsidR="00433D01" w:rsidRPr="000762E1" w:rsidRDefault="00433D01" w:rsidP="003A5016">
      <w:pPr>
        <w:autoSpaceDE w:val="0"/>
        <w:autoSpaceDN w:val="0"/>
        <w:adjustRightInd w:val="0"/>
        <w:spacing w:after="0" w:line="240" w:lineRule="auto"/>
        <w:rPr>
          <w:rFonts w:ascii="ArialMT" w:hAnsi="ArialMT" w:cs="ArialMT"/>
          <w:b/>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A:</w:t>
      </w:r>
    </w:p>
    <w:p w:rsidR="001C3AFC" w:rsidRPr="00A84642" w:rsidRDefault="001C3AFC" w:rsidP="003A5016">
      <w:pPr>
        <w:autoSpaceDE w:val="0"/>
        <w:autoSpaceDN w:val="0"/>
        <w:adjustRightInd w:val="0"/>
        <w:spacing w:after="0" w:line="240" w:lineRule="auto"/>
        <w:rPr>
          <w:rFonts w:ascii="ArialMT" w:hAnsi="ArialMT" w:cs="ArialMT"/>
          <w:szCs w:val="20"/>
        </w:rPr>
      </w:pPr>
    </w:p>
    <w:p w:rsidR="001C3AFC" w:rsidRDefault="001C3AFC" w:rsidP="003A5016">
      <w:pPr>
        <w:autoSpaceDE w:val="0"/>
        <w:autoSpaceDN w:val="0"/>
        <w:adjustRightInd w:val="0"/>
        <w:spacing w:after="0" w:line="240" w:lineRule="auto"/>
        <w:rPr>
          <w:rFonts w:ascii="ArialMT" w:hAnsi="ArialMT" w:cs="ArialMT"/>
          <w:szCs w:val="20"/>
        </w:rPr>
      </w:pPr>
    </w:p>
    <w:p w:rsidR="000C0009" w:rsidRDefault="000C0009" w:rsidP="003A5016">
      <w:pPr>
        <w:autoSpaceDE w:val="0"/>
        <w:autoSpaceDN w:val="0"/>
        <w:adjustRightInd w:val="0"/>
        <w:spacing w:after="0" w:line="240" w:lineRule="auto"/>
        <w:rPr>
          <w:rFonts w:ascii="ArialMT" w:hAnsi="ArialMT" w:cs="ArialMT"/>
          <w:szCs w:val="20"/>
        </w:rPr>
      </w:pPr>
    </w:p>
    <w:p w:rsidR="000C0009" w:rsidRPr="00A84642" w:rsidRDefault="000C0009"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B:</w:t>
      </w:r>
    </w:p>
    <w:p w:rsidR="001C3AFC" w:rsidRDefault="001C3AFC" w:rsidP="003A5016">
      <w:pPr>
        <w:autoSpaceDE w:val="0"/>
        <w:autoSpaceDN w:val="0"/>
        <w:adjustRightInd w:val="0"/>
        <w:spacing w:after="0" w:line="240" w:lineRule="auto"/>
        <w:rPr>
          <w:rFonts w:ascii="ArialMT" w:hAnsi="ArialMT" w:cs="ArialMT"/>
          <w:szCs w:val="20"/>
        </w:rPr>
      </w:pPr>
    </w:p>
    <w:p w:rsidR="000C0009" w:rsidRDefault="000C0009" w:rsidP="003A5016">
      <w:pPr>
        <w:autoSpaceDE w:val="0"/>
        <w:autoSpaceDN w:val="0"/>
        <w:adjustRightInd w:val="0"/>
        <w:spacing w:after="0" w:line="240" w:lineRule="auto"/>
        <w:rPr>
          <w:rFonts w:ascii="ArialMT" w:hAnsi="ArialMT" w:cs="ArialMT"/>
          <w:szCs w:val="20"/>
        </w:rPr>
      </w:pPr>
    </w:p>
    <w:p w:rsidR="000C0009" w:rsidRPr="00A84642" w:rsidRDefault="000C0009" w:rsidP="003A5016">
      <w:pPr>
        <w:autoSpaceDE w:val="0"/>
        <w:autoSpaceDN w:val="0"/>
        <w:adjustRightInd w:val="0"/>
        <w:spacing w:after="0" w:line="240" w:lineRule="auto"/>
        <w:rPr>
          <w:rFonts w:ascii="ArialMT" w:hAnsi="ArialMT" w:cs="ArialMT"/>
          <w:szCs w:val="20"/>
        </w:rPr>
      </w:pPr>
    </w:p>
    <w:p w:rsidR="001C3AFC" w:rsidRPr="00A84642" w:rsidRDefault="001C3AFC"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C:</w:t>
      </w:r>
    </w:p>
    <w:p w:rsidR="00433D01" w:rsidRDefault="00433D01" w:rsidP="003A5016">
      <w:pPr>
        <w:autoSpaceDE w:val="0"/>
        <w:autoSpaceDN w:val="0"/>
        <w:adjustRightInd w:val="0"/>
        <w:spacing w:after="0" w:line="240" w:lineRule="auto"/>
        <w:rPr>
          <w:rFonts w:ascii="ArialMT" w:hAnsi="ArialMT" w:cs="ArialMT"/>
          <w:szCs w:val="20"/>
        </w:rPr>
      </w:pPr>
    </w:p>
    <w:p w:rsidR="000C0009" w:rsidRDefault="000C0009" w:rsidP="003A5016">
      <w:pPr>
        <w:autoSpaceDE w:val="0"/>
        <w:autoSpaceDN w:val="0"/>
        <w:adjustRightInd w:val="0"/>
        <w:spacing w:after="0" w:line="240" w:lineRule="auto"/>
        <w:rPr>
          <w:rFonts w:ascii="ArialMT" w:hAnsi="ArialMT" w:cs="ArialMT"/>
          <w:szCs w:val="20"/>
        </w:rPr>
      </w:pPr>
    </w:p>
    <w:p w:rsidR="000C0009" w:rsidRPr="00A84642" w:rsidRDefault="000C0009" w:rsidP="003A5016">
      <w:pPr>
        <w:autoSpaceDE w:val="0"/>
        <w:autoSpaceDN w:val="0"/>
        <w:adjustRightInd w:val="0"/>
        <w:spacing w:after="0" w:line="240" w:lineRule="auto"/>
        <w:rPr>
          <w:rFonts w:ascii="ArialMT" w:hAnsi="ArialMT" w:cs="ArialMT"/>
          <w:szCs w:val="20"/>
        </w:rPr>
      </w:pPr>
    </w:p>
    <w:p w:rsidR="001C3AFC" w:rsidRPr="00A84642" w:rsidRDefault="001C3AFC"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b/>
          <w:szCs w:val="20"/>
        </w:rPr>
      </w:pPr>
      <w:r w:rsidRPr="00A84642">
        <w:rPr>
          <w:rFonts w:ascii="ArialMT" w:hAnsi="ArialMT" w:cs="ArialMT"/>
          <w:b/>
          <w:szCs w:val="20"/>
        </w:rPr>
        <w:t xml:space="preserve">Determine the </w:t>
      </w:r>
      <w:r w:rsidRPr="00A84642">
        <w:rPr>
          <w:rFonts w:ascii="Arial-ItalicMT" w:hAnsi="Arial-ItalicMT" w:cs="Arial-ItalicMT"/>
          <w:b/>
          <w:i/>
          <w:iCs/>
          <w:szCs w:val="20"/>
        </w:rPr>
        <w:t>y</w:t>
      </w:r>
      <w:r w:rsidRPr="00A84642">
        <w:rPr>
          <w:rFonts w:ascii="ArialMT" w:hAnsi="ArialMT" w:cs="ArialMT"/>
          <w:b/>
          <w:szCs w:val="20"/>
        </w:rPr>
        <w:t>-intercept and state what the intercept represents for each plan.</w:t>
      </w: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A:</w:t>
      </w:r>
    </w:p>
    <w:p w:rsidR="001C3AFC" w:rsidRDefault="001C3AFC"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0C0009" w:rsidRDefault="000C0009" w:rsidP="003A5016">
      <w:pPr>
        <w:autoSpaceDE w:val="0"/>
        <w:autoSpaceDN w:val="0"/>
        <w:adjustRightInd w:val="0"/>
        <w:spacing w:after="0" w:line="240" w:lineRule="auto"/>
        <w:rPr>
          <w:rFonts w:ascii="ArialMT" w:hAnsi="ArialMT" w:cs="ArialMT"/>
          <w:szCs w:val="20"/>
        </w:rPr>
      </w:pPr>
    </w:p>
    <w:p w:rsidR="000C0009" w:rsidRPr="00A84642" w:rsidRDefault="000C0009"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B:</w:t>
      </w:r>
    </w:p>
    <w:p w:rsidR="001C3AFC" w:rsidRPr="00A84642" w:rsidRDefault="001C3AFC"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0C0009" w:rsidRPr="00A84642" w:rsidRDefault="000C0009" w:rsidP="003A5016">
      <w:pPr>
        <w:autoSpaceDE w:val="0"/>
        <w:autoSpaceDN w:val="0"/>
        <w:adjustRightInd w:val="0"/>
        <w:spacing w:after="0" w:line="240" w:lineRule="auto"/>
        <w:rPr>
          <w:rFonts w:ascii="ArialMT" w:hAnsi="ArialMT" w:cs="ArialMT"/>
          <w:szCs w:val="20"/>
        </w:rPr>
      </w:pPr>
    </w:p>
    <w:p w:rsidR="003A5016" w:rsidRPr="00A84642" w:rsidRDefault="003A5016" w:rsidP="003A5016">
      <w:pPr>
        <w:autoSpaceDE w:val="0"/>
        <w:autoSpaceDN w:val="0"/>
        <w:adjustRightInd w:val="0"/>
        <w:spacing w:after="0" w:line="240" w:lineRule="auto"/>
        <w:rPr>
          <w:rFonts w:ascii="ArialMT" w:hAnsi="ArialMT" w:cs="ArialMT"/>
          <w:szCs w:val="20"/>
        </w:rPr>
      </w:pPr>
      <w:r w:rsidRPr="00A84642">
        <w:rPr>
          <w:rFonts w:ascii="ArialMT" w:hAnsi="ArialMT" w:cs="ArialMT"/>
          <w:szCs w:val="20"/>
        </w:rPr>
        <w:t>Plan C:</w:t>
      </w:r>
    </w:p>
    <w:p w:rsidR="001C3AFC" w:rsidRDefault="001C3AFC" w:rsidP="003A5016">
      <w:pPr>
        <w:autoSpaceDE w:val="0"/>
        <w:autoSpaceDN w:val="0"/>
        <w:adjustRightInd w:val="0"/>
        <w:spacing w:after="0" w:line="240" w:lineRule="auto"/>
        <w:rPr>
          <w:rFonts w:ascii="ArialMT" w:hAnsi="ArialMT" w:cs="ArialMT"/>
          <w:szCs w:val="20"/>
        </w:rPr>
      </w:pPr>
    </w:p>
    <w:p w:rsidR="000C0009" w:rsidRDefault="000C0009" w:rsidP="003A5016">
      <w:pPr>
        <w:autoSpaceDE w:val="0"/>
        <w:autoSpaceDN w:val="0"/>
        <w:adjustRightInd w:val="0"/>
        <w:spacing w:after="0" w:line="240" w:lineRule="auto"/>
        <w:rPr>
          <w:rFonts w:ascii="ArialMT" w:hAnsi="ArialMT" w:cs="ArialMT"/>
          <w:szCs w:val="20"/>
        </w:rPr>
      </w:pPr>
    </w:p>
    <w:p w:rsidR="000C0009" w:rsidRDefault="000C0009" w:rsidP="003A5016">
      <w:pPr>
        <w:autoSpaceDE w:val="0"/>
        <w:autoSpaceDN w:val="0"/>
        <w:adjustRightInd w:val="0"/>
        <w:spacing w:after="0" w:line="240" w:lineRule="auto"/>
        <w:rPr>
          <w:rFonts w:ascii="ArialMT" w:hAnsi="ArialMT" w:cs="ArialMT"/>
          <w:szCs w:val="20"/>
        </w:rPr>
      </w:pPr>
    </w:p>
    <w:p w:rsidR="000C0009" w:rsidRPr="00A84642" w:rsidRDefault="000C0009" w:rsidP="003A5016">
      <w:pPr>
        <w:autoSpaceDE w:val="0"/>
        <w:autoSpaceDN w:val="0"/>
        <w:adjustRightInd w:val="0"/>
        <w:spacing w:after="0" w:line="240" w:lineRule="auto"/>
        <w:rPr>
          <w:rFonts w:ascii="ArialMT" w:hAnsi="ArialMT" w:cs="ArialMT"/>
          <w:szCs w:val="20"/>
        </w:rPr>
      </w:pPr>
    </w:p>
    <w:p w:rsidR="001C3AFC" w:rsidRPr="0063187F" w:rsidRDefault="00A84642" w:rsidP="003A5016">
      <w:pPr>
        <w:autoSpaceDE w:val="0"/>
        <w:autoSpaceDN w:val="0"/>
        <w:adjustRightInd w:val="0"/>
        <w:spacing w:after="0" w:line="240" w:lineRule="auto"/>
        <w:rPr>
          <w:rFonts w:ascii="ArialMT" w:hAnsi="ArialMT" w:cs="ArialMT"/>
          <w:b/>
          <w:szCs w:val="20"/>
        </w:rPr>
      </w:pPr>
      <w:r w:rsidRPr="0063187F">
        <w:rPr>
          <w:rFonts w:ascii="ArialMT" w:hAnsi="ArialMT" w:cs="ArialMT"/>
          <w:b/>
          <w:szCs w:val="20"/>
        </w:rPr>
        <w:t>Using the charts you created</w:t>
      </w:r>
      <w:r w:rsidR="00E04DC2" w:rsidRPr="0063187F">
        <w:rPr>
          <w:rFonts w:ascii="ArialMT" w:hAnsi="ArialMT" w:cs="ArialMT"/>
          <w:b/>
          <w:szCs w:val="20"/>
        </w:rPr>
        <w:t xml:space="preserve"> and the rate of change</w:t>
      </w:r>
      <w:r w:rsidRPr="0063187F">
        <w:rPr>
          <w:rFonts w:ascii="ArialMT" w:hAnsi="ArialMT" w:cs="ArialMT"/>
          <w:b/>
          <w:szCs w:val="20"/>
        </w:rPr>
        <w:t>, explain w</w:t>
      </w:r>
      <w:r w:rsidR="00E04DC2" w:rsidRPr="0063187F">
        <w:rPr>
          <w:rFonts w:ascii="ArialMT" w:hAnsi="ArialMT" w:cs="ArialMT"/>
          <w:b/>
          <w:szCs w:val="20"/>
        </w:rPr>
        <w:t>hen someone might purchase each plan</w:t>
      </w:r>
      <w:r w:rsidRPr="0063187F">
        <w:rPr>
          <w:rFonts w:ascii="ArialMT" w:hAnsi="ArialMT" w:cs="ArialMT"/>
          <w:b/>
          <w:szCs w:val="20"/>
        </w:rPr>
        <w:t>.</w:t>
      </w: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r>
        <w:rPr>
          <w:rFonts w:ascii="ArialMT" w:hAnsi="ArialMT" w:cs="ArialMT"/>
          <w:szCs w:val="20"/>
        </w:rPr>
        <w:t>Plan A:</w:t>
      </w: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r>
        <w:rPr>
          <w:rFonts w:ascii="ArialMT" w:hAnsi="ArialMT" w:cs="ArialMT"/>
          <w:szCs w:val="20"/>
        </w:rPr>
        <w:t>Plan B:</w:t>
      </w: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Default="00433D01" w:rsidP="003A5016">
      <w:pPr>
        <w:autoSpaceDE w:val="0"/>
        <w:autoSpaceDN w:val="0"/>
        <w:adjustRightInd w:val="0"/>
        <w:spacing w:after="0" w:line="240" w:lineRule="auto"/>
        <w:rPr>
          <w:rFonts w:ascii="ArialMT" w:hAnsi="ArialMT" w:cs="ArialMT"/>
          <w:szCs w:val="20"/>
        </w:rPr>
      </w:pPr>
    </w:p>
    <w:p w:rsidR="00433D01" w:rsidRPr="00A84642" w:rsidRDefault="00433D01" w:rsidP="003A5016">
      <w:pPr>
        <w:autoSpaceDE w:val="0"/>
        <w:autoSpaceDN w:val="0"/>
        <w:adjustRightInd w:val="0"/>
        <w:spacing w:after="0" w:line="240" w:lineRule="auto"/>
        <w:rPr>
          <w:rFonts w:ascii="ArialMT" w:hAnsi="ArialMT" w:cs="ArialMT"/>
          <w:szCs w:val="20"/>
        </w:rPr>
      </w:pPr>
      <w:r>
        <w:rPr>
          <w:rFonts w:ascii="ArialMT" w:hAnsi="ArialMT" w:cs="ArialMT"/>
          <w:szCs w:val="20"/>
        </w:rPr>
        <w:t>Plan C:</w:t>
      </w:r>
    </w:p>
    <w:sectPr w:rsidR="00433D01" w:rsidRPr="00A84642" w:rsidSect="00A84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16"/>
    <w:rsid w:val="000762E1"/>
    <w:rsid w:val="000C0009"/>
    <w:rsid w:val="001C3AFC"/>
    <w:rsid w:val="003A5016"/>
    <w:rsid w:val="00433D01"/>
    <w:rsid w:val="0063187F"/>
    <w:rsid w:val="00A84642"/>
    <w:rsid w:val="00AE640D"/>
    <w:rsid w:val="00B946BA"/>
    <w:rsid w:val="00BD1FCE"/>
    <w:rsid w:val="00D24BEF"/>
    <w:rsid w:val="00DD1128"/>
    <w:rsid w:val="00E04DC2"/>
    <w:rsid w:val="00FD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marker>
            <c:symbol val="none"/>
          </c:marker>
          <c:cat>
            <c:numRef>
              <c:f>Sheet1!$A$2:$A$6</c:f>
              <c:numCache>
                <c:formatCode>General</c:formatCode>
                <c:ptCount val="5"/>
                <c:pt idx="0">
                  <c:v>100</c:v>
                </c:pt>
                <c:pt idx="1">
                  <c:v>300</c:v>
                </c:pt>
                <c:pt idx="2">
                  <c:v>500</c:v>
                </c:pt>
                <c:pt idx="3">
                  <c:v>700</c:v>
                </c:pt>
                <c:pt idx="4">
                  <c:v>900</c:v>
                </c:pt>
              </c:numCache>
            </c:numRef>
          </c:cat>
          <c:val>
            <c:numRef>
              <c:f>Sheet1!$B$2:$B$6</c:f>
              <c:numCache>
                <c:formatCode>General</c:formatCode>
                <c:ptCount val="5"/>
                <c:pt idx="0">
                  <c:v>6</c:v>
                </c:pt>
                <c:pt idx="1">
                  <c:v>6</c:v>
                </c:pt>
                <c:pt idx="2">
                  <c:v>16</c:v>
                </c:pt>
                <c:pt idx="3">
                  <c:v>26</c:v>
                </c:pt>
                <c:pt idx="4">
                  <c:v>36</c:v>
                </c:pt>
              </c:numCache>
            </c:numRef>
          </c:val>
          <c:smooth val="0"/>
        </c:ser>
        <c:ser>
          <c:idx val="1"/>
          <c:order val="1"/>
          <c:tx>
            <c:strRef>
              <c:f>Sheet1!$C$1</c:f>
              <c:strCache>
                <c:ptCount val="1"/>
                <c:pt idx="0">
                  <c:v>Series 2</c:v>
                </c:pt>
              </c:strCache>
            </c:strRef>
          </c:tx>
          <c:marker>
            <c:symbol val="none"/>
          </c:marker>
          <c:cat>
            <c:numRef>
              <c:f>Sheet1!$A$2:$A$6</c:f>
              <c:numCache>
                <c:formatCode>General</c:formatCode>
                <c:ptCount val="5"/>
                <c:pt idx="0">
                  <c:v>100</c:v>
                </c:pt>
                <c:pt idx="1">
                  <c:v>300</c:v>
                </c:pt>
                <c:pt idx="2">
                  <c:v>500</c:v>
                </c:pt>
                <c:pt idx="3">
                  <c:v>700</c:v>
                </c:pt>
                <c:pt idx="4">
                  <c:v>900</c:v>
                </c:pt>
              </c:numCache>
            </c:numRef>
          </c:cat>
          <c:val>
            <c:numRef>
              <c:f>Sheet1!$C$2:$C$6</c:f>
              <c:numCache>
                <c:formatCode>General</c:formatCode>
                <c:ptCount val="5"/>
              </c:numCache>
            </c:numRef>
          </c:val>
          <c:smooth val="0"/>
        </c:ser>
        <c:ser>
          <c:idx val="2"/>
          <c:order val="2"/>
          <c:tx>
            <c:strRef>
              <c:f>Sheet1!$D$1</c:f>
              <c:strCache>
                <c:ptCount val="1"/>
                <c:pt idx="0">
                  <c:v>Series 3</c:v>
                </c:pt>
              </c:strCache>
            </c:strRef>
          </c:tx>
          <c:marker>
            <c:symbol val="none"/>
          </c:marker>
          <c:cat>
            <c:numRef>
              <c:f>Sheet1!$A$2:$A$6</c:f>
              <c:numCache>
                <c:formatCode>General</c:formatCode>
                <c:ptCount val="5"/>
                <c:pt idx="0">
                  <c:v>100</c:v>
                </c:pt>
                <c:pt idx="1">
                  <c:v>300</c:v>
                </c:pt>
                <c:pt idx="2">
                  <c:v>500</c:v>
                </c:pt>
                <c:pt idx="3">
                  <c:v>700</c:v>
                </c:pt>
                <c:pt idx="4">
                  <c:v>900</c:v>
                </c:pt>
              </c:numCache>
            </c:numRef>
          </c:cat>
          <c:val>
            <c:numRef>
              <c:f>Sheet1!$D$2:$D$6</c:f>
              <c:numCache>
                <c:formatCode>General</c:formatCode>
                <c:ptCount val="5"/>
              </c:numCache>
            </c:numRef>
          </c:val>
          <c:smooth val="0"/>
        </c:ser>
        <c:dLbls>
          <c:showLegendKey val="0"/>
          <c:showVal val="0"/>
          <c:showCatName val="0"/>
          <c:showSerName val="0"/>
          <c:showPercent val="0"/>
          <c:showBubbleSize val="0"/>
        </c:dLbls>
        <c:marker val="1"/>
        <c:smooth val="0"/>
        <c:axId val="74119808"/>
        <c:axId val="93616000"/>
      </c:lineChart>
      <c:catAx>
        <c:axId val="74119808"/>
        <c:scaling>
          <c:orientation val="minMax"/>
        </c:scaling>
        <c:delete val="0"/>
        <c:axPos val="b"/>
        <c:numFmt formatCode="General" sourceLinked="1"/>
        <c:majorTickMark val="out"/>
        <c:minorTickMark val="none"/>
        <c:tickLblPos val="nextTo"/>
        <c:crossAx val="93616000"/>
        <c:crosses val="autoZero"/>
        <c:auto val="1"/>
        <c:lblAlgn val="ctr"/>
        <c:lblOffset val="100"/>
        <c:noMultiLvlLbl val="0"/>
      </c:catAx>
      <c:valAx>
        <c:axId val="93616000"/>
        <c:scaling>
          <c:orientation val="minMax"/>
        </c:scaling>
        <c:delete val="0"/>
        <c:axPos val="l"/>
        <c:majorGridlines/>
        <c:numFmt formatCode="General" sourceLinked="1"/>
        <c:majorTickMark val="out"/>
        <c:minorTickMark val="none"/>
        <c:tickLblPos val="nextTo"/>
        <c:crossAx val="74119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Column1</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Sheet1!$B$2:$B$11</c:f>
              <c:numCache>
                <c:formatCode>General</c:formatCode>
                <c:ptCount val="10"/>
                <c:pt idx="6">
                  <c:v>0</c:v>
                </c:pt>
              </c:numCache>
            </c:numRef>
          </c:val>
          <c:smooth val="0"/>
        </c:ser>
        <c:ser>
          <c:idx val="1"/>
          <c:order val="1"/>
          <c:tx>
            <c:strRef>
              <c:f>Sheet1!$C$1</c:f>
              <c:strCache>
                <c:ptCount val="1"/>
                <c:pt idx="0">
                  <c:v>Column2</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Sheet1!$C$2:$C$11</c:f>
              <c:numCache>
                <c:formatCode>General</c:formatCode>
                <c:ptCount val="10"/>
              </c:numCache>
            </c:numRef>
          </c:val>
          <c:smooth val="0"/>
        </c:ser>
        <c:ser>
          <c:idx val="2"/>
          <c:order val="2"/>
          <c:tx>
            <c:strRef>
              <c:f>Sheet1!$D$1</c:f>
              <c:strCache>
                <c:ptCount val="1"/>
                <c:pt idx="0">
                  <c:v>Column3</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Sheet1!$D$2:$D$11</c:f>
              <c:numCache>
                <c:formatCode>General</c:formatCode>
                <c:ptCount val="10"/>
              </c:numCache>
            </c:numRef>
          </c:val>
          <c:smooth val="0"/>
        </c:ser>
        <c:dLbls>
          <c:showLegendKey val="0"/>
          <c:showVal val="0"/>
          <c:showCatName val="0"/>
          <c:showSerName val="0"/>
          <c:showPercent val="0"/>
          <c:showBubbleSize val="0"/>
        </c:dLbls>
        <c:marker val="1"/>
        <c:smooth val="0"/>
        <c:axId val="119471488"/>
        <c:axId val="120444800"/>
      </c:lineChart>
      <c:catAx>
        <c:axId val="119471488"/>
        <c:scaling>
          <c:orientation val="minMax"/>
        </c:scaling>
        <c:delete val="0"/>
        <c:axPos val="b"/>
        <c:majorGridlines/>
        <c:numFmt formatCode="General" sourceLinked="1"/>
        <c:majorTickMark val="out"/>
        <c:minorTickMark val="none"/>
        <c:tickLblPos val="nextTo"/>
        <c:crossAx val="120444800"/>
        <c:crosses val="autoZero"/>
        <c:auto val="1"/>
        <c:lblAlgn val="ctr"/>
        <c:lblOffset val="100"/>
        <c:noMultiLvlLbl val="0"/>
      </c:catAx>
      <c:valAx>
        <c:axId val="120444800"/>
        <c:scaling>
          <c:orientation val="minMax"/>
          <c:max val="50"/>
          <c:min val="0"/>
        </c:scaling>
        <c:delete val="0"/>
        <c:axPos val="l"/>
        <c:majorGridlines/>
        <c:numFmt formatCode="General" sourceLinked="1"/>
        <c:majorTickMark val="cross"/>
        <c:minorTickMark val="none"/>
        <c:tickLblPos val="nextTo"/>
        <c:crossAx val="119471488"/>
        <c:crosses val="autoZero"/>
        <c:crossBetween val="between"/>
        <c:majorUnit val="5"/>
        <c:minorUnit val="5"/>
      </c:valAx>
    </c:plotArea>
    <c:plotVisOnly val="1"/>
    <c:dispBlanksAs val="gap"/>
    <c:showDLblsOverMax val="0"/>
  </c:chart>
  <c:txPr>
    <a:bodyPr/>
    <a:lstStyle/>
    <a:p>
      <a:pPr>
        <a:defRPr sz="11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Column1</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Sheet1!$B$2:$B$11</c:f>
              <c:numCache>
                <c:formatCode>General</c:formatCode>
                <c:ptCount val="10"/>
                <c:pt idx="6">
                  <c:v>0</c:v>
                </c:pt>
              </c:numCache>
            </c:numRef>
          </c:val>
          <c:smooth val="0"/>
        </c:ser>
        <c:ser>
          <c:idx val="1"/>
          <c:order val="1"/>
          <c:tx>
            <c:strRef>
              <c:f>Sheet1!$C$1</c:f>
              <c:strCache>
                <c:ptCount val="1"/>
                <c:pt idx="0">
                  <c:v>Column2</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Sheet1!$C$2:$C$11</c:f>
              <c:numCache>
                <c:formatCode>General</c:formatCode>
                <c:ptCount val="10"/>
              </c:numCache>
            </c:numRef>
          </c:val>
          <c:smooth val="0"/>
        </c:ser>
        <c:ser>
          <c:idx val="2"/>
          <c:order val="2"/>
          <c:tx>
            <c:strRef>
              <c:f>Sheet1!$D$1</c:f>
              <c:strCache>
                <c:ptCount val="1"/>
                <c:pt idx="0">
                  <c:v>Column3</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Sheet1!$D$2:$D$11</c:f>
              <c:numCache>
                <c:formatCode>General</c:formatCode>
                <c:ptCount val="10"/>
              </c:numCache>
            </c:numRef>
          </c:val>
          <c:smooth val="0"/>
        </c:ser>
        <c:dLbls>
          <c:showLegendKey val="0"/>
          <c:showVal val="0"/>
          <c:showCatName val="0"/>
          <c:showSerName val="0"/>
          <c:showPercent val="0"/>
          <c:showBubbleSize val="0"/>
        </c:dLbls>
        <c:marker val="1"/>
        <c:smooth val="0"/>
        <c:axId val="125584512"/>
        <c:axId val="132891008"/>
      </c:lineChart>
      <c:catAx>
        <c:axId val="125584512"/>
        <c:scaling>
          <c:orientation val="minMax"/>
        </c:scaling>
        <c:delete val="0"/>
        <c:axPos val="b"/>
        <c:majorGridlines/>
        <c:numFmt formatCode="General" sourceLinked="1"/>
        <c:majorTickMark val="out"/>
        <c:minorTickMark val="none"/>
        <c:tickLblPos val="nextTo"/>
        <c:crossAx val="132891008"/>
        <c:crosses val="autoZero"/>
        <c:auto val="1"/>
        <c:lblAlgn val="ctr"/>
        <c:lblOffset val="100"/>
        <c:noMultiLvlLbl val="0"/>
      </c:catAx>
      <c:valAx>
        <c:axId val="132891008"/>
        <c:scaling>
          <c:orientation val="minMax"/>
          <c:max val="100"/>
          <c:min val="0"/>
        </c:scaling>
        <c:delete val="0"/>
        <c:axPos val="l"/>
        <c:majorGridlines/>
        <c:numFmt formatCode="General" sourceLinked="1"/>
        <c:majorTickMark val="cross"/>
        <c:minorTickMark val="none"/>
        <c:tickLblPos val="nextTo"/>
        <c:crossAx val="125584512"/>
        <c:crosses val="autoZero"/>
        <c:crossBetween val="between"/>
        <c:majorUnit val="10"/>
        <c:minorUnit val="5"/>
      </c:valAx>
    </c:plotArea>
    <c:plotVisOnly val="1"/>
    <c:dispBlanksAs val="gap"/>
    <c:showDLblsOverMax val="0"/>
  </c:chart>
  <c:txPr>
    <a:bodyPr/>
    <a:lstStyle/>
    <a:p>
      <a:pPr>
        <a:defRPr sz="11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Column1</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Sheet1!$B$2:$B$11</c:f>
              <c:numCache>
                <c:formatCode>General</c:formatCode>
                <c:ptCount val="10"/>
                <c:pt idx="6">
                  <c:v>0</c:v>
                </c:pt>
              </c:numCache>
            </c:numRef>
          </c:val>
          <c:smooth val="0"/>
        </c:ser>
        <c:ser>
          <c:idx val="1"/>
          <c:order val="1"/>
          <c:tx>
            <c:strRef>
              <c:f>Sheet1!$C$1</c:f>
              <c:strCache>
                <c:ptCount val="1"/>
                <c:pt idx="0">
                  <c:v>Column2</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Sheet1!$C$2:$C$11</c:f>
              <c:numCache>
                <c:formatCode>General</c:formatCode>
                <c:ptCount val="10"/>
              </c:numCache>
            </c:numRef>
          </c:val>
          <c:smooth val="0"/>
        </c:ser>
        <c:ser>
          <c:idx val="2"/>
          <c:order val="2"/>
          <c:tx>
            <c:strRef>
              <c:f>Sheet1!$D$1</c:f>
              <c:strCache>
                <c:ptCount val="1"/>
                <c:pt idx="0">
                  <c:v>Column3</c:v>
                </c:pt>
              </c:strCache>
            </c:strRef>
          </c:tx>
          <c:marker>
            <c:symbol val="none"/>
          </c:marker>
          <c:cat>
            <c:numRef>
              <c:f>Sheet1!$A$2:$A$11</c:f>
              <c:numCache>
                <c:formatCode>General</c:formatCode>
                <c:ptCount val="10"/>
                <c:pt idx="0">
                  <c:v>200</c:v>
                </c:pt>
                <c:pt idx="1">
                  <c:v>400</c:v>
                </c:pt>
                <c:pt idx="2">
                  <c:v>600</c:v>
                </c:pt>
                <c:pt idx="3">
                  <c:v>800</c:v>
                </c:pt>
                <c:pt idx="4">
                  <c:v>1000</c:v>
                </c:pt>
                <c:pt idx="5">
                  <c:v>1200</c:v>
                </c:pt>
                <c:pt idx="6">
                  <c:v>1400</c:v>
                </c:pt>
                <c:pt idx="7">
                  <c:v>1600</c:v>
                </c:pt>
                <c:pt idx="8">
                  <c:v>1800</c:v>
                </c:pt>
                <c:pt idx="9">
                  <c:v>2000</c:v>
                </c:pt>
              </c:numCache>
            </c:numRef>
          </c:cat>
          <c:val>
            <c:numRef>
              <c:f>Sheet1!$D$2:$D$11</c:f>
              <c:numCache>
                <c:formatCode>General</c:formatCode>
                <c:ptCount val="10"/>
              </c:numCache>
            </c:numRef>
          </c:val>
          <c:smooth val="0"/>
        </c:ser>
        <c:dLbls>
          <c:showLegendKey val="0"/>
          <c:showVal val="0"/>
          <c:showCatName val="0"/>
          <c:showSerName val="0"/>
          <c:showPercent val="0"/>
          <c:showBubbleSize val="0"/>
        </c:dLbls>
        <c:marker val="1"/>
        <c:smooth val="0"/>
        <c:axId val="134625152"/>
        <c:axId val="135852032"/>
      </c:lineChart>
      <c:catAx>
        <c:axId val="134625152"/>
        <c:scaling>
          <c:orientation val="minMax"/>
        </c:scaling>
        <c:delete val="0"/>
        <c:axPos val="b"/>
        <c:majorGridlines/>
        <c:numFmt formatCode="General" sourceLinked="1"/>
        <c:majorTickMark val="out"/>
        <c:minorTickMark val="none"/>
        <c:tickLblPos val="nextTo"/>
        <c:crossAx val="135852032"/>
        <c:crosses val="autoZero"/>
        <c:auto val="1"/>
        <c:lblAlgn val="ctr"/>
        <c:lblOffset val="100"/>
        <c:noMultiLvlLbl val="0"/>
      </c:catAx>
      <c:valAx>
        <c:axId val="135852032"/>
        <c:scaling>
          <c:orientation val="minMax"/>
          <c:max val="26"/>
          <c:min val="0"/>
        </c:scaling>
        <c:delete val="0"/>
        <c:axPos val="l"/>
        <c:majorGridlines/>
        <c:numFmt formatCode="General" sourceLinked="1"/>
        <c:majorTickMark val="cross"/>
        <c:minorTickMark val="none"/>
        <c:tickLblPos val="nextTo"/>
        <c:crossAx val="134625152"/>
        <c:crosses val="autoZero"/>
        <c:crossBetween val="between"/>
        <c:majorUnit val="2"/>
        <c:minorUnit val="0.1"/>
      </c:valAx>
    </c:plotArea>
    <c:plotVisOnly val="1"/>
    <c:dispBlanksAs val="gap"/>
    <c:showDLblsOverMax val="0"/>
  </c:chart>
  <c:txPr>
    <a:bodyPr/>
    <a:lstStyle/>
    <a:p>
      <a:pPr>
        <a:defRPr sz="11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homeuser</dc:creator>
  <cp:lastModifiedBy>Milton Stephenson</cp:lastModifiedBy>
  <cp:revision>11</cp:revision>
  <dcterms:created xsi:type="dcterms:W3CDTF">2014-11-11T02:31:00Z</dcterms:created>
  <dcterms:modified xsi:type="dcterms:W3CDTF">2014-11-17T20:06:00Z</dcterms:modified>
</cp:coreProperties>
</file>